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Gaeilge 1" w:cs="Gaeilge 1" w:eastAsia="Gaeilge 1" w:hAnsi="Gaeilge 1"/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-113405</wp:posOffset>
            </wp:positionH>
            <wp:positionV relativeFrom="paragraph">
              <wp:posOffset>170815</wp:posOffset>
            </wp:positionV>
            <wp:extent cx="1104900" cy="133858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Ebrima" w:cs="Ebrima" w:eastAsia="Ebrima" w:hAnsi="Ebrima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sz w:val="40"/>
          <w:szCs w:val="40"/>
          <w:rtl w:val="0"/>
        </w:rPr>
        <w:t xml:space="preserve">LEABHARLIOSTA 2022-2023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RANG: Naí. Shinsir/</w:t>
      </w: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Senior Infants</w:t>
      </w:r>
    </w:p>
    <w:p w:rsidR="00000000" w:rsidDel="00000000" w:rsidP="00000000" w:rsidRDefault="00000000" w:rsidRPr="00000000" w14:paraId="00000004">
      <w:pPr>
        <w:pStyle w:val="Subtitle"/>
        <w:rPr>
          <w:rFonts w:ascii="Ebrima" w:cs="Ebrima" w:eastAsia="Ebrima" w:hAnsi="Ebri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</w:p>
    <w:tbl>
      <w:tblPr>
        <w:tblStyle w:val="Table1"/>
        <w:tblW w:w="10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374"/>
        <w:gridCol w:w="1984"/>
        <w:tblGridChange w:id="0">
          <w:tblGrid>
            <w:gridCol w:w="2552"/>
            <w:gridCol w:w="6374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pStyle w:val="Heading1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ÁBHAR                          TEIDEAL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1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pStyle w:val="Heading2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“Ag Obair Liom”  Leabhar an Dalta B</w:t>
            </w:r>
          </w:p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“Mo Leabharsa”  Leabhar an Dalta B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Pacáiste de Leabhairíní Céim 1 – 16 Leabhairín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Pacáiste de Leabhairíní Céim 2 – 16 Leabhairín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Leabhairíní Léitheoireachta GMC – 15 Leabhar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Cleití Banda Sraith 1 – 20 Leabhar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Cleití Banda Sraith 2 – 60 Leabhar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Ár Scéalta Sraith 1 – 10 Leabhar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Ár Scéalta Sraith 2 – 10 Leabhar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jc w:val="center"/>
              <w:rPr>
                <w:rFonts w:ascii="Georgia" w:cs="Georgia" w:eastAsia="Georgia" w:hAnsi="Georgi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Leabhairíní Beaga: Na Túsfuaimeanna – 25 Leabhar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An Gúm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Fillteán Féinmheasúnaithe agus Foghlama do Naí. Mhóra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  <w:color w:val="00964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9644"/>
                <w:rtl w:val="0"/>
              </w:rPr>
              <w:t xml:space="preserve">Lettertec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Just Handwriting CURSIVE Senior infants</w:t>
            </w:r>
          </w:p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Just Handwriting CURSIVE Senior infants- Practice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color w:val="00b05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educate.ie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pStyle w:val="Heading2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MATAMATIC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Gafa le Mata (Naíonáin Shinsearacha)</w:t>
            </w:r>
          </w:p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Gafa le Mata (Naíonáin Shinsearacha) Nasc Baile/Scoile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O.S.I.E.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Nach Iontach an Domhan É! (Naíonáin Shinsir)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pStyle w:val="Heading2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T. CRÍOSTAÍ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 nGrá Dé (Naí. Shinsearacha) Bunscoil 2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Veritas</w:t>
            </w:r>
          </w:p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pStyle w:val="Heading2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CÓIPLEABHAIR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 x Project 15A Copies </w:t>
            </w:r>
          </w:p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Learn to Write Exercise Copy (B2)</w:t>
            </w:r>
          </w:p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Blank / Plain Day Copy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 x A4 Plastic wallets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following should come to school,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rtl w:val="0"/>
              </w:rPr>
              <w:t xml:space="preserve">fully labelled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and in the child’s pencil case.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Double Pencil Case</w:t>
            </w:r>
          </w:p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2x Pritt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Safety scissors</w:t>
            </w:r>
          </w:p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trio sharpening box (collects toppings) (Please ensure it is suitable for the jumbo pencils.)</w:t>
            </w:r>
          </w:p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Soft White Eraser</w:t>
            </w:r>
          </w:p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 x Junior Grip HB Triangular writing pencil (Faber-Castell)</w:t>
            </w:r>
          </w:p>
          <w:p w:rsidR="00000000" w:rsidDel="00000000" w:rsidP="00000000" w:rsidRDefault="00000000" w:rsidRPr="00000000" w14:paraId="0000004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x 20 Jumbo Colour Pencils Triangular (Faber-Castell)*</w:t>
            </w:r>
          </w:p>
          <w:p w:rsidR="00000000" w:rsidDel="00000000" w:rsidP="00000000" w:rsidRDefault="00000000" w:rsidRPr="00000000" w14:paraId="0000004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*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Go raibh maith agat faoi cás pheann luaidhe saor ó Twistables a sheoladh ar scoil le do leanbh.</w:t>
            </w:r>
          </w:p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Thank you for not sending your child to school with Twistables.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Nóta: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IAD FÉIN./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142" w:hanging="284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BÍODH NA LEABHAIR &amp; CÓIPLEABHAIR CLÚDAITHE DON SCOILBHLIAIN NUA LE BHUR DTOIL./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your child’s name on them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for the new school year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Gaeilge 1" w:cs="Gaeilge 1" w:eastAsia="Gaeilge 1" w:hAnsi="Gaeilge 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142" w:hanging="284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BEIDH NA LEABHAIR AR FÁIL I SIOPA O’MAHONYS Ó LÁR MÍ IÚIL./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books will be available in O’Mahony’s Bookshop from mid-July</w:t>
      </w:r>
    </w:p>
    <w:p w:rsidR="00000000" w:rsidDel="00000000" w:rsidP="00000000" w:rsidRDefault="00000000" w:rsidRPr="00000000" w14:paraId="00000065">
      <w:pPr>
        <w:ind w:left="-142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Gabhaimid buíochas libh faoi theacht le hiarrachtaí glas na scoile agus clúdach páipéar a roghnú in áit plaisteach.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142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Thank you kindly for considering the environment by opting for paper covering over plastic.</w:t>
      </w:r>
    </w:p>
    <w:p w:rsidR="00000000" w:rsidDel="00000000" w:rsidP="00000000" w:rsidRDefault="00000000" w:rsidRPr="00000000" w14:paraId="00000067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Ebrima"/>
  <w:font w:name="Noto Sans Symbols"/>
  <w:font w:name="Gaeilge 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4F7E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804F7E"/>
    <w:pPr>
      <w:keepNext w:val="1"/>
      <w:jc w:val="center"/>
      <w:outlineLvl w:val="0"/>
    </w:pPr>
    <w:rPr>
      <w:rFonts w:cs="Times New Roman"/>
      <w:b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804F7E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804F7E"/>
    <w:pPr>
      <w:keepNext w:val="1"/>
      <w:outlineLvl w:val="2"/>
    </w:pPr>
    <w:rPr>
      <w:rFonts w:cs="Times New Roman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804F7E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804F7E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804F7E"/>
    <w:rPr>
      <w:rFonts w:ascii="Arial" w:cs="Times New Roman" w:eastAsia="Times New Roman" w:hAnsi="Arial"/>
      <w:sz w:val="28"/>
      <w:szCs w:val="20"/>
      <w:lang w:val="en-GB"/>
    </w:rPr>
  </w:style>
  <w:style w:type="paragraph" w:styleId="Subtitle">
    <w:name w:val="Subtitle"/>
    <w:basedOn w:val="Normal"/>
    <w:link w:val="SubtitleChar"/>
    <w:qFormat w:val="1"/>
    <w:rsid w:val="00804F7E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804F7E"/>
    <w:rPr>
      <w:rFonts w:ascii="Arial" w:cs="Times New Roman" w:eastAsia="Times New Roman" w:hAnsi="Arial"/>
      <w:b w:val="1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13C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913CE"/>
    <w:rPr>
      <w:rFonts w:ascii="Segoe UI" w:cs="Segoe UI" w:eastAsia="Times New Roman" w:hAnsi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 w:val="1"/>
    <w:rsid w:val="007D2DB9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A2XL+dHNKR4NZo3fhTxudE2FQ==">AMUW2mWIOqmOgxMIC6BuB/regKJuq1sbTRgdzpCx/izDNHNZ8gZ7cXRJeOGsjaKWm/9OKjfoIpbY8D6euT3AhFujRPXUIwqhGKVzMZXGWg+z6iho7UOEDPlG/1ZgxycuLsuTErdaEmpT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2022-05-10T15:51:00Z</dcterms:created>
  <dc:creator>office</dc:creator>
</cp:coreProperties>
</file>